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  <w:jc w:val="center"/>
      </w:pPr>
      <w:r>
        <w:rPr>
          <w:rFonts w:ascii="Arial" w:cs="Arial" w:eastAsia="Arial" w:hAnsi="Arial"/>
          <w:b/>
          <w:bCs/>
          <w:color w:val="1F3864"/>
          <w:sz w:val="28"/>
          <w:szCs w:val="28"/>
        </w:rPr>
        <w:t xml:space="preserve">DEBORAH L. MCCAULEY, J.M., BSN, RN, PMP</w:t>
      </w:r>
    </w:p>
    <w:p>
      <w:pPr>
        <w:spacing w:after="40" w:before="0"/>
        <w:jc w:val="center"/>
      </w:pPr>
      <w:r>
        <w:rPr>
          <w:rFonts w:ascii="Arial" w:cs="Arial" w:eastAsia="Arial" w:hAnsi="Arial"/>
          <w:color w:val="555555"/>
          <w:sz w:val="18"/>
          <w:szCs w:val="18"/>
        </w:rPr>
        <w:t xml:space="preserve">Healthcare Regulatory Compliance Executive  |  CMS Turnaround Specialist  |  USAF Veteran</w:t>
      </w:r>
    </w:p>
    <w:p>
      <w:pPr>
        <w:spacing w:after="60" w:before="0"/>
        <w:jc w:val="center"/>
      </w:pPr>
      <w:r>
        <w:rPr>
          <w:rFonts w:ascii="Arial" w:cs="Arial" w:eastAsia="Arial" w:hAnsi="Arial"/>
          <w:color w:val="555555"/>
          <w:sz w:val="16"/>
          <w:szCs w:val="16"/>
        </w:rPr>
        <w:t xml:space="preserve">nursedebb@housemccauley.com  |  571-330-4041  |  FL RN #9531948  |  PMP #3731443  |  debmccauley.wordpress.com</w:t>
      </w:r>
    </w:p>
    <w:p>
      <w:pPr>
        <w:shd w:fill="E8EDF5" w:val="clear"/>
        <w:spacing w:after="80" w:before="40"/>
        <w:jc w:val="center"/>
      </w:pPr>
      <w:r>
        <w:rPr>
          <w:rFonts w:ascii="Arial" w:cs="Arial" w:eastAsia="Arial" w:hAnsi="Arial"/>
          <w:b/>
          <w:bCs/>
          <w:color w:val="1F3864"/>
          <w:sz w:val="18"/>
          <w:szCs w:val="18"/>
        </w:rPr>
        <w:t xml:space="preserve">KEY ACCOMPLISHMENT: </w:t>
      </w:r>
      <w:r>
        <w:rPr>
          <w:rFonts w:ascii="Arial" w:cs="Arial" w:eastAsia="Arial" w:hAnsi="Arial"/>
          <w:color w:val="000000"/>
          <w:sz w:val="18"/>
          <w:szCs w:val="18"/>
        </w:rPr>
        <w:t xml:space="preserve">Removed 336-bed teaching hospital from CMS termination status within 30 days, protecting $400M+ in annual federal revenue</w:t>
      </w:r>
    </w:p>
    <w:p>
      <w:pPr>
        <w:pBdr>
          <w:bottom w:val="single" w:color="1F3864" w:sz="6" w:space="1"/>
        </w:pBdr>
        <w:spacing w:after="60" w:before="120"/>
      </w:pPr>
      <w:r>
        <w:rPr>
          <w:rFonts w:ascii="Arial" w:cs="Arial" w:eastAsia="Arial" w:hAnsi="Arial"/>
          <w:b/>
          <w:bCs/>
          <w:color w:val="1F3864"/>
          <w:sz w:val="20"/>
          <w:szCs w:val="20"/>
        </w:rPr>
        <w:t xml:space="preserve">PROFESSIONAL SUMMARY</w:t>
      </w:r>
    </w:p>
    <w:p>
      <w:pPr>
        <w:spacing w:after="60" w:before="6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Healthcare compliance and quality leader with 15+ years of progressive experience spanning acute care, federal/state healthcare, and interim executive consulting. Proven track record in regulatory turnarounds, enterprise compliance program development, risk management, and patient safety — from the bedside to the boardroom. Deep expertise in CMS Conditions of Participation, TJC standards, and state survey processes, with demonstrated ability to lead organizations through high-stakes regulatory events, build sustainable compliance infrastructure, and deliver measurable quality outcomes. Equally effective in direct operations leadership, advisory, and federal healthcare environments.</w:t>
      </w:r>
    </w:p>
    <w:p>
      <w:pPr>
        <w:pBdr>
          <w:bottom w:val="single" w:color="1F3864" w:sz="6" w:space="1"/>
        </w:pBdr>
        <w:spacing w:after="60" w:before="120"/>
      </w:pPr>
      <w:r>
        <w:rPr>
          <w:rFonts w:ascii="Arial" w:cs="Arial" w:eastAsia="Arial" w:hAnsi="Arial"/>
          <w:b/>
          <w:bCs/>
          <w:color w:val="1F3864"/>
          <w:sz w:val="20"/>
          <w:szCs w:val="20"/>
        </w:rPr>
        <w:t xml:space="preserve">CORE COMPETENCIES</w:t>
      </w:r>
    </w:p>
    <w:p>
      <w:pPr>
        <w:spacing w:after="60" w:before="60"/>
        <w:jc w:val="left"/>
      </w:pPr>
      <w:r>
        <w:rPr>
          <w:rFonts w:ascii="Arial" w:cs="Arial" w:eastAsia="Arial" w:hAnsi="Arial"/>
          <w:color w:val="000000"/>
          <w:sz w:val="17"/>
          <w:szCs w:val="17"/>
        </w:rPr>
        <w:t xml:space="preserve">CMS Regulatory Compliance  |  TJC &amp; State Survey Management  |  Risk Management &amp; Patient Safety  |  Quality Assurance &amp; Performance Improvement  |  Corrective Action Planning  |  Gap Analysis &amp; Site Assessment  |  Regulatory Governance Design  |  Executive &amp; Board Engagement  |  Federal Healthcare Operations  |  Policy Development  |  Root Cause Analysis  |  Cross-Functional Team Leadership</w:t>
      </w:r>
    </w:p>
    <w:p>
      <w:pPr>
        <w:pBdr>
          <w:bottom w:val="single" w:color="1F3864" w:sz="6" w:space="1"/>
        </w:pBdr>
        <w:spacing w:after="60" w:before="120"/>
      </w:pPr>
      <w:r>
        <w:rPr>
          <w:rFonts w:ascii="Arial" w:cs="Arial" w:eastAsia="Arial" w:hAnsi="Arial"/>
          <w:b/>
          <w:bCs/>
          <w:color w:val="1F3864"/>
          <w:sz w:val="20"/>
          <w:szCs w:val="20"/>
        </w:rPr>
        <w:t xml:space="preserve">PROFESSIONAL EXPERIENCE</w:t>
      </w:r>
    </w:p>
    <w:p>
      <w:pPr>
        <w:tabs>
          <w:tab w:val="right" w:pos="9360"/>
        </w:tabs>
        <w:spacing w:after="20" w:before="100"/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Regulatory Compliance Program Manager (Interim)</w:t>
      </w: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	March 2025 - November 2025</w:t>
      </w:r>
    </w:p>
    <w:p>
      <w:pPr>
        <w:spacing w:after="30" w:before="0"/>
      </w:pP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AMN / B.E. Smith  |  Multi-Hospital System, Pacific Northwest</w:t>
      </w:r>
      <w:r>
        <w:rPr>
          <w:rFonts w:ascii="Arial" w:cs="Arial" w:eastAsia="Arial" w:hAnsi="Arial"/>
          <w:color w:val="555555"/>
          <w:sz w:val="17"/>
          <w:szCs w:val="17"/>
        </w:rPr>
        <w:t xml:space="preserve">  |  40 hrs/wk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Served as principal regulatory compliance advisor to executive leadership for 336-bed teaching hospital within a multi-hospital system facing CMS termination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Removed hospital from CMS termination track within 30 days through enterprise-wide corrective action planning, performance monitoring, and regulatory agency partnership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Co-chaired Regulatory Oversight Committee (ROC) with CMO, creating scalable governance model subsequently adopted regionally; improved CAP completion rate from 65% to 100%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Directed 12+ regulatory surveys including TJC triennial, multiple DOH visits, and CMS/DOH complaint investigations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Developed FY2026 GAP Analysis tool covering all 16 TJC/CMS standard chapters with assigned executive accountability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Collaborated with Transplant Director on OPTN survey preparation, ensuring program compliance with federal regulations and accreditation standards</w:t>
      </w:r>
    </w:p>
    <w:p>
      <w:pPr>
        <w:tabs>
          <w:tab w:val="right" w:pos="9360"/>
        </w:tabs>
        <w:spacing w:after="20" w:before="100"/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Director, Risk Management &amp; Patient Safety</w:t>
      </w: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	Feb 2023 - Sept 2023</w:t>
      </w:r>
    </w:p>
    <w:p>
      <w:pPr>
        <w:spacing w:after="30" w:before="0"/>
      </w:pP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Florida Department of Veterans Affairs - State Veterans Healthcare Facility</w:t>
      </w:r>
      <w:r>
        <w:rPr>
          <w:rFonts w:ascii="Arial" w:cs="Arial" w:eastAsia="Arial" w:hAnsi="Arial"/>
          <w:color w:val="555555"/>
          <w:sz w:val="17"/>
          <w:szCs w:val="17"/>
        </w:rPr>
        <w:t xml:space="preserve">  |  40 hrs/wk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Rebuilt dormant risk management department following 9-month vacancy; consolidated Risk Management, Quality Assurance, Patient Safety, and Safety Officer functions under single executive leadership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Reduced reportable patient safety events by 30% through data-driven quality improvement initiatives and targeted clinical interventions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Led facility through CMS, VA, and AHCA surveys with zero deficiencies; spearheaded PSI-90 reduction initiative through policy revision and workflow optimization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Built facility-wide compliance monitoring infrastructure including performance dashboards, trend analysis, and executive reporting protocols</w:t>
      </w:r>
    </w:p>
    <w:p>
      <w:pPr>
        <w:tabs>
          <w:tab w:val="right" w:pos="9360"/>
        </w:tabs>
        <w:spacing w:after="20" w:before="100"/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Healthcare Compliance Consultant</w:t>
      </w: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	June 2018 - Present</w:t>
      </w:r>
    </w:p>
    <w:p>
      <w:pPr>
        <w:spacing w:after="30" w:before="0"/>
      </w:pP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NurseDebb, LLC</w:t>
      </w:r>
      <w:r>
        <w:rPr>
          <w:rFonts w:ascii="Arial" w:cs="Arial" w:eastAsia="Arial" w:hAnsi="Arial"/>
          <w:color w:val="555555"/>
          <w:sz w:val="17"/>
          <w:szCs w:val="17"/>
        </w:rPr>
        <w:t xml:space="preserve">  |  Variable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Provide regulatory compliance, quality improvement, and risk management consulting to healthcare organizations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Author healthcare e-learning content for Relias Learning and LearningMate covering patient safety and regulatory compliance</w:t>
      </w:r>
    </w:p>
    <w:p>
      <w:pPr>
        <w:tabs>
          <w:tab w:val="right" w:pos="9360"/>
        </w:tabs>
        <w:spacing w:after="20" w:before="100"/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Clinical Nursing &amp; Informatics</w:t>
      </w: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	2002 - 2019</w:t>
      </w:r>
    </w:p>
    <w:p>
      <w:pPr>
        <w:spacing w:after="30" w:before="0"/>
      </w:pP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Various Healthcare Facilities</w:t>
      </w:r>
      <w:r>
        <w:rPr>
          <w:rFonts w:ascii="Arial" w:cs="Arial" w:eastAsia="Arial" w:hAnsi="Arial"/>
          <w:color w:val="555555"/>
          <w:sz w:val="17"/>
          <w:szCs w:val="17"/>
        </w:rPr>
        <w:t xml:space="preserve">  |  40 hrs/wk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Progressive clinical experience in cardiac, vascular, acute rehabilitation, and med-surg settings; Charge Nurse and Night Shift Supervisor with autonomous clinical decision-making responsibility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Served as clinical informatics nurse and EHR super user across multiple platforms (Cerner, MEDITECH, McKesson, CHCS, GE); led process improvement and staff safety training initiatives</w:t>
      </w:r>
    </w:p>
    <w:p>
      <w:pPr>
        <w:tabs>
          <w:tab w:val="right" w:pos="9360"/>
        </w:tabs>
        <w:spacing w:after="20" w:before="100"/>
      </w:pPr>
      <w:r>
        <w:rPr>
          <w:rFonts w:ascii="Arial" w:cs="Arial" w:eastAsia="Arial" w:hAnsi="Arial"/>
          <w:b/>
          <w:bCs/>
          <w:color w:val="000000"/>
          <w:sz w:val="19"/>
          <w:szCs w:val="19"/>
        </w:rPr>
        <w:t xml:space="preserve">Medical Services Technician</w:t>
      </w: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	Feb 1999 - Jan 2001</w:t>
      </w:r>
    </w:p>
    <w:p>
      <w:pPr>
        <w:spacing w:after="30" w:before="0"/>
      </w:pPr>
      <w:r>
        <w:rPr>
          <w:rFonts w:ascii="Arial" w:cs="Arial" w:eastAsia="Arial" w:hAnsi="Arial"/>
          <w:i/>
          <w:iCs/>
          <w:color w:val="555555"/>
          <w:sz w:val="17"/>
          <w:szCs w:val="17"/>
        </w:rPr>
        <w:t xml:space="preserve">United States Air Force  |  David Grant USAF Medical Center, Travis AFB, CA</w:t>
      </w:r>
      <w:r>
        <w:rPr>
          <w:rFonts w:ascii="Arial" w:cs="Arial" w:eastAsia="Arial" w:hAnsi="Arial"/>
          <w:color w:val="555555"/>
          <w:sz w:val="17"/>
          <w:szCs w:val="17"/>
        </w:rPr>
        <w:t xml:space="preserve">  |  40+ hrs/wk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8"/>
          <w:szCs w:val="18"/>
        </w:rPr>
        <w:t xml:space="preserve">Provided clinical care in surgical clinics and med-surg wards at Air Force flagship teaching hospital; built foundation in federal healthcare delivery, quality standards, and team coordination</w:t>
      </w:r>
    </w:p>
    <w:p>
      <w:pPr>
        <w:pBdr>
          <w:bottom w:val="single" w:color="1F3864" w:sz="6" w:space="1"/>
        </w:pBdr>
        <w:spacing w:after="60" w:before="120"/>
      </w:pPr>
      <w:r>
        <w:rPr>
          <w:rFonts w:ascii="Arial" w:cs="Arial" w:eastAsia="Arial" w:hAnsi="Arial"/>
          <w:b/>
          <w:bCs/>
          <w:color w:val="1F3864"/>
          <w:sz w:val="20"/>
          <w:szCs w:val="20"/>
        </w:rPr>
        <w:t xml:space="preserve">EDUCATION</w:t>
      </w:r>
    </w:p>
    <w:p>
      <w:pPr>
        <w:spacing w:after="20" w:before="6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Juris Master, Healthcare Regulation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|  Florida State University College of Law  |  Magna Cum Laude</w:t>
      </w:r>
    </w:p>
    <w:p>
      <w:pPr>
        <w:spacing w:after="20" w:before="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Bachelor of Science in Nursing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|  American Sentinel College  |  Magna Cum Laude</w:t>
      </w:r>
    </w:p>
    <w:p>
      <w:pPr>
        <w:spacing w:after="20" w:before="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Associate Degree in Nursing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|  Northern Virginia Community College</w:t>
      </w:r>
    </w:p>
    <w:p>
      <w:pPr>
        <w:spacing w:after="60" w:before="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Medical Services Technician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|  United States Air Force</w:t>
      </w:r>
    </w:p>
    <w:p>
      <w:pPr>
        <w:pBdr>
          <w:bottom w:val="single" w:color="1F3864" w:sz="6" w:space="1"/>
        </w:pBdr>
        <w:spacing w:after="60" w:before="120"/>
      </w:pPr>
      <w:r>
        <w:rPr>
          <w:rFonts w:ascii="Arial" w:cs="Arial" w:eastAsia="Arial" w:hAnsi="Arial"/>
          <w:b/>
          <w:bCs/>
          <w:color w:val="1F3864"/>
          <w:sz w:val="20"/>
          <w:szCs w:val="20"/>
        </w:rPr>
        <w:t xml:space="preserve">CERTIFICATIONS &amp; LICENSURE</w:t>
      </w:r>
    </w:p>
    <w:p>
      <w:pPr>
        <w:spacing w:after="20" w:before="6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RN License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Florida #9531948  |  Active, Compact State</w:t>
      </w:r>
    </w:p>
    <w:p>
      <w:pPr>
        <w:spacing w:after="20" w:before="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Project Management Professional (PMP)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PMI #3731443</w:t>
      </w:r>
    </w:p>
    <w:p>
      <w:pPr>
        <w:spacing w:after="20" w:before="0"/>
      </w:pPr>
      <w:r>
        <w:rPr>
          <w:rFonts w:ascii="Arial" w:cs="Arial" w:eastAsia="Arial" w:hAnsi="Arial"/>
          <w:b/>
          <w:bCs/>
          <w:color w:val="1F3864"/>
          <w:sz w:val="18"/>
          <w:szCs w:val="18"/>
        </w:rPr>
        <w:t xml:space="preserve">In Progress (2026):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  CPHRM  |  CPHQ  |  HACP</w:t>
      </w:r>
    </w:p>
    <w:p>
      <w:pPr>
        <w:spacing w:after="0" w:before="20"/>
      </w:pPr>
      <w:r>
        <w:rPr>
          <w:rFonts w:ascii="Arial" w:cs="Arial" w:eastAsia="Arial" w:hAnsi="Arial"/>
          <w:b/>
          <w:bCs/>
          <w:color w:val="1F3864"/>
          <w:sz w:val="18"/>
          <w:szCs w:val="18"/>
        </w:rPr>
        <w:t xml:space="preserve">USAF Veteran (Honorable Discharge)  |  Eligible for Public Trust Clearance</w:t>
      </w:r>
    </w:p>
    <w:sectPr>
      <w:pgSz w:w="12240" w:h="15840" w:orient="portrait"/>
      <w:pgMar w:top="864" w:right="1008" w:bottom="864" w:left="100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2026-03-31T13:05:08.271Z</dcterms:created>
  <dcterms:modified xsi:type="dcterms:W3CDTF">2026-03-31T13:05:08.272Z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